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napToGrid w:val="0"/>
        <w:spacing w:line="320" w:lineRule="atLeast"/>
        <w:jc w:val="left"/>
        <w:rPr>
          <w:rFonts w:hint="eastAsia" w:ascii="黑体" w:hAnsi="宋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wordWrap w:val="0"/>
        <w:snapToGrid w:val="0"/>
        <w:spacing w:line="320" w:lineRule="atLeast"/>
        <w:jc w:val="center"/>
        <w:rPr>
          <w:rFonts w:hint="eastAsia" w:ascii="方正小标宋_GBK" w:hAnsi="宋体" w:eastAsia="方正小标宋_GBK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bCs/>
          <w:color w:val="000000"/>
          <w:kern w:val="0"/>
          <w:sz w:val="36"/>
          <w:szCs w:val="36"/>
        </w:rPr>
        <w:t>新增医疗服务项目价格申报表</w:t>
      </w:r>
    </w:p>
    <w:p>
      <w:pPr>
        <w:widowControl/>
        <w:wordWrap w:val="0"/>
        <w:snapToGrid w:val="0"/>
        <w:spacing w:line="300" w:lineRule="atLeast"/>
        <w:jc w:val="left"/>
        <w:rPr>
          <w:rFonts w:hint="eastAsia" w:ascii="方正书宋_GBK" w:hAnsi="宋体" w:eastAsia="方正书宋_GBK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20"/>
        </w:rPr>
        <w:t>医疗机构名称(盖章）：</w:t>
      </w:r>
    </w:p>
    <w:tbl>
      <w:tblPr>
        <w:tblStyle w:val="3"/>
        <w:tblW w:w="10093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31"/>
        <w:gridCol w:w="11"/>
        <w:gridCol w:w="93"/>
        <w:gridCol w:w="134"/>
        <w:gridCol w:w="259"/>
        <w:gridCol w:w="136"/>
        <w:gridCol w:w="463"/>
        <w:gridCol w:w="100"/>
        <w:gridCol w:w="75"/>
        <w:gridCol w:w="366"/>
        <w:gridCol w:w="129"/>
        <w:gridCol w:w="46"/>
        <w:gridCol w:w="562"/>
        <w:gridCol w:w="238"/>
        <w:gridCol w:w="9"/>
        <w:gridCol w:w="158"/>
        <w:gridCol w:w="238"/>
        <w:gridCol w:w="275"/>
        <w:gridCol w:w="238"/>
        <w:gridCol w:w="188"/>
        <w:gridCol w:w="356"/>
        <w:gridCol w:w="238"/>
        <w:gridCol w:w="295"/>
        <w:gridCol w:w="59"/>
        <w:gridCol w:w="331"/>
        <w:gridCol w:w="341"/>
        <w:gridCol w:w="236"/>
        <w:gridCol w:w="68"/>
        <w:gridCol w:w="450"/>
        <w:gridCol w:w="120"/>
        <w:gridCol w:w="63"/>
        <w:gridCol w:w="165"/>
        <w:gridCol w:w="445"/>
        <w:gridCol w:w="65"/>
        <w:gridCol w:w="302"/>
        <w:gridCol w:w="816"/>
        <w:gridCol w:w="238"/>
        <w:gridCol w:w="115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20" w:hRule="atLeast"/>
        </w:trPr>
        <w:tc>
          <w:tcPr>
            <w:tcW w:w="12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项目名称</w:t>
            </w:r>
          </w:p>
        </w:tc>
        <w:tc>
          <w:tcPr>
            <w:tcW w:w="7435" w:type="dxa"/>
            <w:gridSpan w:val="3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96" w:hRule="atLeast"/>
        </w:trPr>
        <w:tc>
          <w:tcPr>
            <w:tcW w:w="12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项目内涵</w:t>
            </w:r>
          </w:p>
        </w:tc>
        <w:tc>
          <w:tcPr>
            <w:tcW w:w="7435" w:type="dxa"/>
            <w:gridSpan w:val="3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80" w:hRule="atLeast"/>
        </w:trPr>
        <w:tc>
          <w:tcPr>
            <w:tcW w:w="12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预计年开展例数</w:t>
            </w:r>
          </w:p>
        </w:tc>
        <w:tc>
          <w:tcPr>
            <w:tcW w:w="2659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28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操作科室</w:t>
            </w:r>
          </w:p>
        </w:tc>
        <w:tc>
          <w:tcPr>
            <w:tcW w:w="249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95" w:hRule="atLeast"/>
        </w:trPr>
        <w:tc>
          <w:tcPr>
            <w:tcW w:w="39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材料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费用</w:t>
            </w: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、固定资产折旧及维护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74" w:hRule="atLeast"/>
        </w:trPr>
        <w:tc>
          <w:tcPr>
            <w:tcW w:w="3923" w:type="dxa"/>
            <w:gridSpan w:val="1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1、内涵一次性耗材消耗（按实际购进价计）</w:t>
            </w: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1、仪器设备折旧费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340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品名</w:t>
            </w:r>
          </w:p>
        </w:tc>
        <w:tc>
          <w:tcPr>
            <w:tcW w:w="6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单位</w:t>
            </w:r>
          </w:p>
        </w:tc>
        <w:tc>
          <w:tcPr>
            <w:tcW w:w="6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单价</w:t>
            </w:r>
          </w:p>
        </w:tc>
        <w:tc>
          <w:tcPr>
            <w:tcW w:w="11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实际使用数量</w:t>
            </w: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  <w:tc>
          <w:tcPr>
            <w:tcW w:w="782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资产名称</w:t>
            </w:r>
          </w:p>
        </w:tc>
        <w:tc>
          <w:tcPr>
            <w:tcW w:w="592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原值（元）</w:t>
            </w:r>
          </w:p>
        </w:tc>
        <w:tc>
          <w:tcPr>
            <w:tcW w:w="908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使用年限</w:t>
            </w:r>
          </w:p>
        </w:tc>
        <w:tc>
          <w:tcPr>
            <w:tcW w:w="866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折旧费（元）</w:t>
            </w:r>
          </w:p>
        </w:tc>
        <w:tc>
          <w:tcPr>
            <w:tcW w:w="81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平均每次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占用时间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（分钟）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67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6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1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58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6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1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83" w:hRule="atLeast"/>
        </w:trPr>
        <w:tc>
          <w:tcPr>
            <w:tcW w:w="3005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960" w:type="dxa"/>
            <w:gridSpan w:val="17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88" w:hRule="atLeast"/>
        </w:trPr>
        <w:tc>
          <w:tcPr>
            <w:tcW w:w="39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2、可重复使用医用耗材（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按实际购进价计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）</w:t>
            </w: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、专用房屋折旧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340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名称</w:t>
            </w:r>
          </w:p>
        </w:tc>
        <w:tc>
          <w:tcPr>
            <w:tcW w:w="6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单位</w:t>
            </w:r>
          </w:p>
        </w:tc>
        <w:tc>
          <w:tcPr>
            <w:tcW w:w="4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单价</w:t>
            </w:r>
          </w:p>
        </w:tc>
        <w:tc>
          <w:tcPr>
            <w:tcW w:w="7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  <w:t>可使用次数</w:t>
            </w:r>
          </w:p>
        </w:tc>
        <w:tc>
          <w:tcPr>
            <w:tcW w:w="5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  <w:t>使用数量</w:t>
            </w: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  <w:tc>
          <w:tcPr>
            <w:tcW w:w="78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房屋总造价</w:t>
            </w:r>
          </w:p>
        </w:tc>
        <w:tc>
          <w:tcPr>
            <w:tcW w:w="92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房屋总面积（m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）</w:t>
            </w: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使用年限</w:t>
            </w:r>
          </w:p>
        </w:tc>
        <w:tc>
          <w:tcPr>
            <w:tcW w:w="6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项目使用面积</w:t>
            </w:r>
          </w:p>
        </w:tc>
        <w:tc>
          <w:tcPr>
            <w:tcW w:w="104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平均每次占用时间（分钟）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（元）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98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8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92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6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104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84" w:hRule="atLeast"/>
        </w:trPr>
        <w:tc>
          <w:tcPr>
            <w:tcW w:w="6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1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2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房屋大修理费（按原值的年2%计）</w:t>
            </w:r>
          </w:p>
        </w:tc>
        <w:tc>
          <w:tcPr>
            <w:tcW w:w="16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平均每次占用时间（分钟）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85" w:hRule="atLeast"/>
        </w:trPr>
        <w:tc>
          <w:tcPr>
            <w:tcW w:w="6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1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28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16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25" w:hRule="atLeast"/>
        </w:trPr>
        <w:tc>
          <w:tcPr>
            <w:tcW w:w="3005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960" w:type="dxa"/>
            <w:gridSpan w:val="1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14" w:hRule="atLeast"/>
        </w:trPr>
        <w:tc>
          <w:tcPr>
            <w:tcW w:w="3923" w:type="dxa"/>
            <w:gridSpan w:val="1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人工成本</w:t>
            </w: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、间接费用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324" w:hRule="atLeast"/>
        </w:trPr>
        <w:tc>
          <w:tcPr>
            <w:tcW w:w="73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参加人员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人数</w:t>
            </w:r>
          </w:p>
        </w:tc>
        <w:tc>
          <w:tcPr>
            <w:tcW w:w="63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spacing w:val="-22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工时</w:t>
            </w:r>
            <w:r>
              <w:rPr>
                <w:rFonts w:hint="eastAsia" w:ascii="宋体" w:hAnsi="宋体" w:cs="宋体"/>
                <w:color w:val="000000"/>
                <w:spacing w:val="-22"/>
                <w:kern w:val="0"/>
                <w:sz w:val="11"/>
                <w:szCs w:val="11"/>
              </w:rPr>
              <w:t>（小时）</w:t>
            </w:r>
          </w:p>
        </w:tc>
        <w:tc>
          <w:tcPr>
            <w:tcW w:w="110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spacing w:val="-18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平均工资</w:t>
            </w:r>
            <w:r>
              <w:rPr>
                <w:rFonts w:hint="eastAsia" w:ascii="宋体" w:hAnsi="宋体" w:cs="宋体"/>
                <w:color w:val="000000"/>
                <w:spacing w:val="-18"/>
                <w:kern w:val="0"/>
                <w:sz w:val="11"/>
                <w:szCs w:val="11"/>
              </w:rPr>
              <w:t>（元/小时）</w:t>
            </w: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1.医院管理费用支出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35" w:hRule="atLeast"/>
        </w:trPr>
        <w:tc>
          <w:tcPr>
            <w:tcW w:w="73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医生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0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2.医院管理费用支出占医疗总支出的比例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53" w:hRule="atLeast"/>
        </w:trPr>
        <w:tc>
          <w:tcPr>
            <w:tcW w:w="73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护士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0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间接费（按一至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总金额*医院管理费用支出占医疗总支出的比例）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33" w:hRule="atLeast"/>
        </w:trPr>
        <w:tc>
          <w:tcPr>
            <w:tcW w:w="73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医技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0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30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9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39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、电、水、气等常规消耗</w:t>
            </w:r>
          </w:p>
        </w:tc>
        <w:tc>
          <w:tcPr>
            <w:tcW w:w="4776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、财政补偿比例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名称</w:t>
            </w:r>
          </w:p>
        </w:tc>
        <w:tc>
          <w:tcPr>
            <w:tcW w:w="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单位</w:t>
            </w:r>
          </w:p>
        </w:tc>
        <w:tc>
          <w:tcPr>
            <w:tcW w:w="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单价</w:t>
            </w:r>
          </w:p>
        </w:tc>
        <w:tc>
          <w:tcPr>
            <w:tcW w:w="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消耗数量（次）</w:t>
            </w:r>
          </w:p>
        </w:tc>
        <w:tc>
          <w:tcPr>
            <w:tcW w:w="8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  <w:t>消耗总金额（元）</w:t>
            </w:r>
          </w:p>
        </w:tc>
        <w:tc>
          <w:tcPr>
            <w:tcW w:w="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应摊金额（元）</w:t>
            </w: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1.财政补助收入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水费</w:t>
            </w:r>
          </w:p>
        </w:tc>
        <w:tc>
          <w:tcPr>
            <w:tcW w:w="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8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</w:p>
        </w:tc>
        <w:tc>
          <w:tcPr>
            <w:tcW w:w="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2.医院总支出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电费</w:t>
            </w:r>
          </w:p>
        </w:tc>
        <w:tc>
          <w:tcPr>
            <w:tcW w:w="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8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</w:p>
        </w:tc>
        <w:tc>
          <w:tcPr>
            <w:tcW w:w="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补偿比例（财政补助收入/医院总支出）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燃气费</w:t>
            </w:r>
          </w:p>
        </w:tc>
        <w:tc>
          <w:tcPr>
            <w:tcW w:w="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8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</w:p>
        </w:tc>
        <w:tc>
          <w:tcPr>
            <w:tcW w:w="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143" w:hRule="atLeast"/>
        </w:trPr>
        <w:tc>
          <w:tcPr>
            <w:tcW w:w="325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小计</w:t>
            </w:r>
          </w:p>
        </w:tc>
        <w:tc>
          <w:tcPr>
            <w:tcW w:w="67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</w:pPr>
          </w:p>
        </w:tc>
        <w:tc>
          <w:tcPr>
            <w:tcW w:w="3658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80" w:hRule="atLeast"/>
        </w:trPr>
        <w:tc>
          <w:tcPr>
            <w:tcW w:w="8699" w:type="dxa"/>
            <w:gridSpan w:val="3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六、项目成本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80" w:hRule="atLeast"/>
        </w:trPr>
        <w:tc>
          <w:tcPr>
            <w:tcW w:w="4349" w:type="dxa"/>
            <w:gridSpan w:val="2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项目成本(一项至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项目费用相加）*(1-补偿比例)</w:t>
            </w:r>
          </w:p>
        </w:tc>
        <w:tc>
          <w:tcPr>
            <w:tcW w:w="4350" w:type="dxa"/>
            <w:gridSpan w:val="1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80" w:hRule="atLeast"/>
        </w:trPr>
        <w:tc>
          <w:tcPr>
            <w:tcW w:w="8699" w:type="dxa"/>
            <w:gridSpan w:val="3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七、医院申报价格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80" w:hRule="atLeast"/>
        </w:trPr>
        <w:tc>
          <w:tcPr>
            <w:tcW w:w="4349" w:type="dxa"/>
            <w:gridSpan w:val="2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医院申报价格</w:t>
            </w:r>
          </w:p>
        </w:tc>
        <w:tc>
          <w:tcPr>
            <w:tcW w:w="4350" w:type="dxa"/>
            <w:gridSpan w:val="1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280" w:hRule="atLeast"/>
        </w:trPr>
        <w:tc>
          <w:tcPr>
            <w:tcW w:w="8699" w:type="dxa"/>
            <w:gridSpan w:val="3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、申报价格情况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317" w:hRule="atLeast"/>
        </w:trPr>
        <w:tc>
          <w:tcPr>
            <w:tcW w:w="341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总成本合计（元）：</w:t>
            </w:r>
          </w:p>
        </w:tc>
        <w:tc>
          <w:tcPr>
            <w:tcW w:w="279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申报价格（元）：</w:t>
            </w:r>
          </w:p>
        </w:tc>
        <w:tc>
          <w:tcPr>
            <w:tcW w:w="249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外省市价格（元）：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94" w:type="dxa"/>
          <w:trHeight w:val="317" w:hRule="atLeast"/>
        </w:trPr>
        <w:tc>
          <w:tcPr>
            <w:tcW w:w="341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79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49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975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</w:p>
        </w:tc>
      </w:tr>
    </w:tbl>
    <w:p>
      <w:pPr>
        <w:widowControl/>
        <w:wordWrap w:val="0"/>
        <w:snapToGrid w:val="0"/>
        <w:spacing w:line="300" w:lineRule="atLeast"/>
        <w:jc w:val="left"/>
        <w:rPr>
          <w:rFonts w:hint="eastAsia"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>备注：1、申请人提供的材料应真实、合法，并承担因失实、违法带来的法律责任；2、申报新增医用材料的，</w:t>
      </w:r>
      <w:r>
        <w:rPr>
          <w:rFonts w:hint="eastAsia" w:ascii="宋体" w:hAnsi="宋体" w:cs="宋体"/>
          <w:color w:val="000000"/>
          <w:kern w:val="0"/>
          <w:sz w:val="20"/>
          <w:lang w:eastAsia="zh-CN"/>
        </w:rPr>
        <w:t>需重新</w:t>
      </w:r>
      <w:r>
        <w:rPr>
          <w:rFonts w:hint="eastAsia" w:ascii="宋体" w:hAnsi="宋体" w:cs="宋体"/>
          <w:color w:val="000000"/>
          <w:kern w:val="0"/>
          <w:sz w:val="20"/>
        </w:rPr>
        <w:t>填报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0"/>
        </w:rPr>
        <w:t>此表。</w:t>
      </w:r>
    </w:p>
    <w:p>
      <w:pPr>
        <w:widowControl/>
        <w:wordWrap w:val="0"/>
        <w:snapToGrid w:val="0"/>
        <w:spacing w:line="300" w:lineRule="atLeast"/>
        <w:jc w:val="left"/>
        <w:rPr>
          <w:rFonts w:hint="eastAsia"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 xml:space="preserve">      填报人：                    联系电话：                   填报日期：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234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234"/>
        </w:tabs>
        <w:bidi w:val="0"/>
        <w:jc w:val="left"/>
        <w:rPr>
          <w:lang w:val="en-US" w:eastAsia="zh-CN"/>
        </w:rPr>
        <w:sectPr>
          <w:pgSz w:w="12240" w:h="15840"/>
          <w:pgMar w:top="1440" w:right="1800" w:bottom="1440" w:left="1800" w:header="720" w:footer="720" w:gutter="0"/>
          <w:pgNumType w:start="1"/>
          <w:cols w:space="720" w:num="1"/>
        </w:sectPr>
      </w:pPr>
    </w:p>
    <w:p>
      <w:pPr>
        <w:spacing w:line="400" w:lineRule="exact"/>
        <w:ind w:firstLine="562" w:firstLineChars="200"/>
        <w:rPr>
          <w:rFonts w:hint="eastAsia" w:ascii="楷体_GB2312" w:hAnsi="黑体" w:eastAsia="楷体_GB2312" w:cs="仿宋_GB2312"/>
          <w:b/>
          <w:sz w:val="28"/>
          <w:szCs w:val="28"/>
        </w:rPr>
      </w:pPr>
    </w:p>
    <w:p>
      <w:pPr>
        <w:jc w:val="center"/>
        <w:rPr>
          <w:rFonts w:hint="eastAsia" w:ascii="华文中宋" w:hAnsi="华文中宋" w:eastAsia="华文中宋" w:cs="仿宋_GB2312"/>
          <w:color w:val="000000"/>
          <w:sz w:val="40"/>
          <w:szCs w:val="40"/>
        </w:rPr>
      </w:pPr>
      <w:r>
        <w:rPr>
          <w:rFonts w:hint="eastAsia" w:ascii="华文中宋" w:hAnsi="华文中宋" w:eastAsia="华文中宋" w:cs="仿宋_GB2312"/>
          <w:color w:val="000000"/>
          <w:sz w:val="40"/>
          <w:szCs w:val="40"/>
        </w:rPr>
        <w:t>新增医疗服务项目成本核算表填写说明</w:t>
      </w:r>
    </w:p>
    <w:p>
      <w:pPr>
        <w:spacing w:line="5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医疗机构应按照实际发生或合理预计数据进行测算，根据成本费用等因素对新增项目制定试行价格，要充分考虑医保和患者承受能力，并与我区现行项目价格保持合理比价。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内涵医用卫生材料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（一）卫生材料：</w:t>
      </w:r>
      <w:r>
        <w:rPr>
          <w:rFonts w:hint="eastAsia" w:ascii="仿宋" w:hAnsi="仿宋" w:eastAsia="仿宋" w:cs="仿宋"/>
          <w:sz w:val="32"/>
          <w:szCs w:val="32"/>
        </w:rPr>
        <w:t>指该医疗服务价格项目应当使用的、市场价格和使用数量相对稳定的一次性医用卫生材料，如：输液器、输血器、注射器、采血针、普通输液胶贴、普通采血管、连接管、吸引器、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普通</w:t>
      </w:r>
      <w:r>
        <w:rPr>
          <w:rFonts w:hint="eastAsia" w:ascii="仿宋" w:hAnsi="仿宋" w:eastAsia="仿宋" w:cs="仿宋"/>
          <w:sz w:val="32"/>
          <w:szCs w:val="32"/>
        </w:rPr>
        <w:t>采血管、普通缝合线及一次性手术包等。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计算公式：应摊金额=实际消耗数量×单价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（二）低值易耗品</w:t>
      </w:r>
      <w:r>
        <w:rPr>
          <w:rFonts w:hint="eastAsia" w:ascii="仿宋" w:hAnsi="仿宋" w:eastAsia="仿宋" w:cs="仿宋"/>
          <w:sz w:val="32"/>
          <w:szCs w:val="32"/>
        </w:rPr>
        <w:t>：指医疗机构提供医疗服务过程中消耗的低值卫生材料。如：碘酒、酒精、棉球、棉花、棉签、纱布、普通敷料、帽子、口罩、鞋套、袜套、手套、手术衣、绷带、检查垫、压舌板、止血带、消毒液、弯盘等。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计算公式：应摊金额=实际消耗数量×单价（注：实际消耗数量为每人每次实际耗用量，如一瓶酒精，可用20人次，则消耗数量为1/20瓶。）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（三）可重复使用卫生材料：</w:t>
      </w:r>
      <w:r>
        <w:rPr>
          <w:rFonts w:hint="eastAsia" w:ascii="仿宋" w:hAnsi="仿宋" w:eastAsia="仿宋" w:cs="仿宋"/>
          <w:sz w:val="32"/>
          <w:szCs w:val="32"/>
        </w:rPr>
        <w:t>指在诊疗项目中供多人共同使用的药品（不含患者处方独立领取的药品）及其它消耗品等，如：眼科检查时使用的阿托品、散装局麻药品、试剂、染色剂、耦合剂、保存液、培养皿、培养基、尿杯、布类手术衣等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计算公式：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每次</w:t>
      </w:r>
      <w:r>
        <w:rPr>
          <w:rFonts w:hint="eastAsia" w:ascii="仿宋" w:hAnsi="仿宋" w:eastAsia="仿宋" w:cs="仿宋"/>
          <w:sz w:val="32"/>
          <w:szCs w:val="32"/>
        </w:rPr>
        <w:t>应摊金额=实际消耗数量×单价</w:t>
      </w:r>
      <w:r>
        <w:rPr>
          <w:rFonts w:hint="eastAsia" w:ascii="仿宋" w:hAnsi="仿宋" w:eastAsia="仿宋" w:cs="仿宋"/>
          <w:sz w:val="32"/>
          <w:szCs w:val="32"/>
          <w:lang w:val="en"/>
        </w:rPr>
        <w:t>/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可使用次数</w:t>
      </w:r>
      <w:r>
        <w:rPr>
          <w:rFonts w:hint="eastAsia" w:ascii="仿宋" w:hAnsi="仿宋" w:eastAsia="仿宋" w:cs="仿宋"/>
          <w:sz w:val="32"/>
          <w:szCs w:val="32"/>
        </w:rPr>
        <w:t>（注：实际消耗数量为每人每次实际耗用量，如一个试剂盒可检测5人份，则消耗数量为1/5。）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二、人工成本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人员工资</w:t>
      </w:r>
      <w:r>
        <w:rPr>
          <w:rFonts w:hint="eastAsia" w:ascii="仿宋" w:hAnsi="仿宋" w:eastAsia="仿宋" w:cs="仿宋"/>
          <w:sz w:val="32"/>
          <w:szCs w:val="32"/>
        </w:rPr>
        <w:t>：根据《内蒙古统计年鉴》公布的上年度卫生行业社会平均工资数确定。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每次应摊金额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=上年度卫生行业社会平均工资（每人每月）/（2</w:t>
      </w:r>
      <w:r>
        <w:rPr>
          <w:rFonts w:hint="eastAsia" w:ascii="仿宋" w:hAnsi="仿宋" w:eastAsia="仿宋" w:cs="仿宋"/>
          <w:sz w:val="32"/>
          <w:szCs w:val="32"/>
        </w:rPr>
        <w:t>2天*8小时）*操作时间*操作人数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水电燃料</w:t>
      </w:r>
    </w:p>
    <w:p>
      <w:pPr>
        <w:numPr>
          <w:numId w:val="0"/>
        </w:num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水电燃料消耗按实际消耗计算。计算公式：应摊金额=实际消耗数量×单价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bCs/>
          <w:color w:val="000000"/>
          <w:sz w:val="32"/>
          <w:szCs w:val="32"/>
        </w:rPr>
        <w:t xml:space="preserve">固定资产折旧 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（一）专用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医疗设备及一般设备折旧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每次应摊金额=固定资产原值/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使用年限/12月/22天/8小时*操作时间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（二）房屋折旧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每次应摊金额=房屋总造价/房屋总面积/使用年限/365天/24小时*项目使用面积*操作时间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、其他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医院管理费用、财政补助收入、医院总支出：根据上年度上报卫生系统统计报表数据为准。</w:t>
      </w:r>
    </w:p>
    <w:p>
      <w:pPr>
        <w:spacing w:line="400" w:lineRule="exact"/>
        <w:ind w:firstLine="562" w:firstLineChars="200"/>
        <w:rPr>
          <w:rFonts w:hint="eastAsia" w:ascii="楷体_GB2312" w:hAnsi="黑体" w:eastAsia="楷体_GB2312" w:cs="仿宋_GB2312"/>
          <w:b/>
          <w:sz w:val="28"/>
          <w:szCs w:val="28"/>
        </w:rPr>
      </w:pPr>
    </w:p>
    <w:p>
      <w:pPr>
        <w:spacing w:line="400" w:lineRule="exact"/>
        <w:ind w:firstLine="562" w:firstLineChars="200"/>
        <w:rPr>
          <w:rFonts w:hint="eastAsia" w:ascii="楷体_GB2312" w:hAnsi="黑体" w:eastAsia="楷体_GB2312" w:cs="仿宋_GB2312"/>
          <w:b/>
          <w:sz w:val="28"/>
          <w:szCs w:val="28"/>
        </w:rPr>
      </w:pPr>
    </w:p>
    <w:p>
      <w:pPr>
        <w:spacing w:line="400" w:lineRule="exact"/>
        <w:rPr>
          <w:rFonts w:hint="eastAsia" w:ascii="楷体_GB2312" w:hAnsi="黑体" w:eastAsia="楷体_GB2312" w:cs="仿宋_GB2312"/>
          <w:b/>
          <w:sz w:val="28"/>
          <w:szCs w:val="28"/>
        </w:rPr>
      </w:pPr>
    </w:p>
    <w:sectPr>
      <w:pgSz w:w="11906" w:h="16838"/>
      <w:pgMar w:top="112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4CF5E5"/>
    <w:multiLevelType w:val="singleLevel"/>
    <w:tmpl w:val="FB4CF5E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F621F"/>
    <w:rsid w:val="2E6F621F"/>
    <w:rsid w:val="3FFAF487"/>
    <w:rsid w:val="5FEE1DEA"/>
    <w:rsid w:val="6F7FA564"/>
    <w:rsid w:val="769351DC"/>
    <w:rsid w:val="7A71B941"/>
    <w:rsid w:val="7FFF014B"/>
    <w:rsid w:val="DD871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2"/>
    <w:basedOn w:val="1"/>
    <w:qFormat/>
    <w:uiPriority w:val="0"/>
    <w:rPr>
      <w:rFonts w:ascii="Calibri" w:hAnsi="Calibri" w:eastAsia="CESI仿宋-GB13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2022-12-09T13:27:00Z</dcterms:created>
  <dc:creator>uos</dc:creator>
  <cp:lastModifiedBy>uos</cp:lastModifiedBy>
  <dcterms:modified xsi:type="dcterms:W3CDTF">2022-12-09T10:01:16Z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EBBA1CC4E0A033DDBE759163281B8CA6</vt:lpwstr>
  </property>
</Properties>
</file>