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Theme="minorEastAsia" w:hAnsiTheme="minorEastAsia" w:cstheme="minorEastAsia"/>
          <w:sz w:val="44"/>
          <w:szCs w:val="44"/>
          <w:lang w:val="en-US" w:eastAsia="zh-CN"/>
        </w:rPr>
      </w:pPr>
      <w:r>
        <w:rPr>
          <w:rFonts w:hint="eastAsia" w:asciiTheme="minorEastAsia" w:hAnsiTheme="minorEastAsia" w:eastAsiaTheme="minorEastAsia" w:cstheme="minorEastAsia"/>
          <w:sz w:val="44"/>
          <w:szCs w:val="44"/>
          <w:lang w:val="en-US" w:eastAsia="zh-CN"/>
        </w:rPr>
        <w:t>结算账户登记</w:t>
      </w:r>
      <w:r>
        <w:rPr>
          <w:rFonts w:hint="eastAsia" w:asciiTheme="minorEastAsia" w:hAnsiTheme="minorEastAsia" w:cstheme="minorEastAsia"/>
          <w:sz w:val="44"/>
          <w:szCs w:val="44"/>
          <w:lang w:val="en-US" w:eastAsia="zh-CN"/>
        </w:rPr>
        <w:t>操作手册</w:t>
      </w:r>
    </w:p>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Theme="minorEastAsia" w:hAnsiTheme="minorEastAsia" w:cstheme="minorEastAsia"/>
          <w:sz w:val="44"/>
          <w:szCs w:val="44"/>
          <w:lang w:val="en-US" w:eastAsia="zh-CN"/>
        </w:rPr>
      </w:pPr>
      <w:r>
        <w:rPr>
          <w:rFonts w:hint="eastAsia" w:asciiTheme="minorEastAsia" w:hAnsiTheme="minorEastAsia" w:cstheme="minorEastAsia"/>
          <w:sz w:val="44"/>
          <w:szCs w:val="44"/>
          <w:lang w:val="en-US" w:eastAsia="zh-CN"/>
        </w:rPr>
        <w:t>（配送企业）</w:t>
      </w:r>
    </w:p>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Theme="minorEastAsia" w:hAnsiTheme="minorEastAsia" w:cstheme="minorEastAsia"/>
          <w:sz w:val="44"/>
          <w:szCs w:val="44"/>
          <w:lang w:val="en-US" w:eastAsia="zh-CN"/>
        </w:rPr>
      </w:pPr>
    </w:p>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Theme="minorEastAsia" w:hAnsiTheme="minorEastAsia" w:cstheme="minorEastAsia"/>
          <w:sz w:val="44"/>
          <w:szCs w:val="44"/>
          <w:lang w:val="en-US" w:eastAsia="zh-CN"/>
        </w:rPr>
      </w:pPr>
    </w:p>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Theme="minorEastAsia" w:hAnsiTheme="minorEastAsia" w:cstheme="minorEastAsia"/>
          <w:sz w:val="44"/>
          <w:szCs w:val="44"/>
          <w:lang w:val="en-US" w:eastAsia="zh-CN"/>
        </w:rPr>
      </w:pPr>
    </w:p>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Theme="minorEastAsia" w:hAnsiTheme="minorEastAsia" w:cstheme="minorEastAsia"/>
          <w:sz w:val="44"/>
          <w:szCs w:val="44"/>
          <w:lang w:val="en-US" w:eastAsia="zh-CN"/>
        </w:rPr>
      </w:pPr>
    </w:p>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Theme="minorEastAsia" w:hAnsiTheme="minorEastAsia" w:cstheme="minorEastAsia"/>
          <w:sz w:val="44"/>
          <w:szCs w:val="44"/>
          <w:lang w:val="en-US" w:eastAsia="zh-CN"/>
        </w:rPr>
      </w:pPr>
    </w:p>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Theme="minorEastAsia" w:hAnsiTheme="minorEastAsia" w:cstheme="minorEastAsia"/>
          <w:sz w:val="44"/>
          <w:szCs w:val="44"/>
          <w:lang w:val="en-US" w:eastAsia="zh-CN"/>
        </w:rPr>
      </w:pPr>
    </w:p>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Theme="minorEastAsia" w:hAnsiTheme="minorEastAsia" w:cstheme="minorEastAsia"/>
          <w:sz w:val="44"/>
          <w:szCs w:val="44"/>
          <w:lang w:val="en-US" w:eastAsia="zh-CN"/>
        </w:rPr>
      </w:pPr>
    </w:p>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Theme="minorEastAsia" w:hAnsiTheme="minorEastAsia" w:cstheme="minorEastAsia"/>
          <w:sz w:val="44"/>
          <w:szCs w:val="44"/>
          <w:lang w:val="en-US" w:eastAsia="zh-CN"/>
        </w:rPr>
      </w:pPr>
    </w:p>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Theme="minorEastAsia" w:hAnsiTheme="minorEastAsia" w:cstheme="minorEastAsia"/>
          <w:sz w:val="44"/>
          <w:szCs w:val="44"/>
          <w:lang w:val="en-US" w:eastAsia="zh-CN"/>
        </w:rPr>
      </w:pPr>
    </w:p>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Theme="minorEastAsia" w:hAnsiTheme="minorEastAsia" w:cstheme="minorEastAsia"/>
          <w:sz w:val="44"/>
          <w:szCs w:val="44"/>
          <w:lang w:val="en-US" w:eastAsia="zh-CN"/>
        </w:rPr>
      </w:pPr>
    </w:p>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Theme="minorEastAsia" w:hAnsiTheme="minorEastAsia" w:cstheme="minorEastAsia"/>
          <w:sz w:val="44"/>
          <w:szCs w:val="44"/>
          <w:lang w:val="en-US" w:eastAsia="zh-CN"/>
        </w:rPr>
      </w:pPr>
    </w:p>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Theme="minorEastAsia" w:hAnsiTheme="minorEastAsia" w:cstheme="minorEastAsia"/>
          <w:sz w:val="44"/>
          <w:szCs w:val="44"/>
          <w:lang w:val="en-US" w:eastAsia="zh-CN"/>
        </w:rPr>
      </w:pPr>
    </w:p>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Theme="minorEastAsia" w:hAnsiTheme="minorEastAsia" w:cstheme="minorEastAsia"/>
          <w:sz w:val="44"/>
          <w:szCs w:val="44"/>
          <w:lang w:val="en-US" w:eastAsia="zh-CN"/>
        </w:rPr>
      </w:pPr>
    </w:p>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Theme="minorEastAsia" w:hAnsiTheme="minorEastAsia" w:cstheme="minorEastAsia"/>
          <w:sz w:val="44"/>
          <w:szCs w:val="44"/>
          <w:lang w:val="en-US" w:eastAsia="zh-CN"/>
        </w:rPr>
      </w:pPr>
    </w:p>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Theme="minorEastAsia" w:hAnsiTheme="minorEastAsia" w:cstheme="minorEastAsia"/>
          <w:sz w:val="44"/>
          <w:szCs w:val="44"/>
          <w:lang w:val="en-US" w:eastAsia="zh-CN"/>
        </w:rPr>
      </w:pPr>
    </w:p>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Theme="minorEastAsia" w:hAnsiTheme="minorEastAsia" w:cstheme="minorEastAsia"/>
          <w:sz w:val="44"/>
          <w:szCs w:val="44"/>
          <w:lang w:val="en-US" w:eastAsia="zh-CN"/>
        </w:rPr>
      </w:pPr>
    </w:p>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Theme="minorEastAsia" w:hAnsiTheme="minorEastAsia" w:cstheme="minorEastAsia"/>
          <w:sz w:val="44"/>
          <w:szCs w:val="44"/>
          <w:lang w:val="en-US" w:eastAsia="zh-CN"/>
        </w:rPr>
      </w:pPr>
    </w:p>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Theme="minorEastAsia" w:hAnsiTheme="minorEastAsia" w:cstheme="minorEastAsia"/>
          <w:sz w:val="44"/>
          <w:szCs w:val="44"/>
          <w:lang w:val="en-US" w:eastAsia="zh-CN"/>
        </w:rPr>
      </w:pPr>
    </w:p>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Theme="minorEastAsia" w:hAnsiTheme="minorEastAsia" w:cstheme="minorEastAsia"/>
          <w:sz w:val="44"/>
          <w:szCs w:val="44"/>
          <w:lang w:val="en-US" w:eastAsia="zh-CN"/>
        </w:rPr>
      </w:pPr>
    </w:p>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Theme="minorEastAsia" w:hAnsiTheme="minorEastAsia" w:cstheme="minorEastAsia"/>
          <w:sz w:val="44"/>
          <w:szCs w:val="44"/>
          <w:lang w:val="en-US" w:eastAsia="zh-CN"/>
        </w:rPr>
      </w:pPr>
    </w:p>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Theme="minorEastAsia" w:hAnsiTheme="minorEastAsia" w:cstheme="minorEastAsia"/>
          <w:sz w:val="44"/>
          <w:szCs w:val="44"/>
          <w:lang w:val="en-US" w:eastAsia="zh-CN"/>
        </w:rPr>
      </w:pPr>
    </w:p>
    <w:p>
      <w:pPr>
        <w:pStyle w:val="2"/>
        <w:keepNext/>
        <w:keepLines/>
        <w:pageBreakBefore w:val="0"/>
        <w:widowControl/>
        <w:numPr>
          <w:ilvl w:val="0"/>
          <w:numId w:val="1"/>
        </w:numPr>
        <w:kinsoku/>
        <w:wordWrap/>
        <w:overflowPunct/>
        <w:topLinePunct w:val="0"/>
        <w:autoSpaceDE/>
        <w:autoSpaceDN/>
        <w:bidi w:val="0"/>
        <w:adjustRightInd/>
        <w:snapToGrid/>
        <w:spacing w:before="313" w:beforeLines="100" w:after="313" w:afterLines="100" w:line="300" w:lineRule="auto"/>
        <w:ind w:left="425" w:leftChars="0" w:hanging="425" w:firstLineChars="0"/>
        <w:jc w:val="left"/>
        <w:textAlignment w:val="auto"/>
        <w:outlineLvl w:val="0"/>
        <w:rPr>
          <w:rFonts w:hint="default" w:asciiTheme="minorEastAsia" w:hAnsiTheme="minorEastAsia" w:cstheme="minorEastAsia"/>
          <w:sz w:val="44"/>
          <w:szCs w:val="44"/>
          <w:lang w:val="en-US" w:eastAsia="zh-CN"/>
        </w:rPr>
      </w:pPr>
      <w:r>
        <w:rPr>
          <w:rFonts w:hint="eastAsia" w:asciiTheme="minorEastAsia" w:hAnsiTheme="minorEastAsia" w:cstheme="minorEastAsia"/>
          <w:sz w:val="44"/>
          <w:szCs w:val="44"/>
          <w:lang w:val="en-US" w:eastAsia="zh-CN"/>
        </w:rPr>
        <w:t>结算账户登记</w:t>
      </w:r>
    </w:p>
    <w:p>
      <w:pPr>
        <w:widowControl/>
        <w:spacing w:line="360" w:lineRule="auto"/>
        <w:ind w:firstLine="420"/>
        <w:jc w:val="left"/>
        <w:rPr>
          <w:rFonts w:hint="eastAsia" w:ascii="宋体" w:hAnsi="宋体" w:eastAsia="宋体" w:cs="宋体"/>
          <w:kern w:val="0"/>
          <w:sz w:val="28"/>
          <w:szCs w:val="28"/>
          <w:lang w:val="en-US" w:eastAsia="zh-CN"/>
        </w:rPr>
      </w:pPr>
      <w:r>
        <w:rPr>
          <w:rFonts w:hint="eastAsia" w:ascii="宋体" w:hAnsi="宋体" w:eastAsia="宋体" w:cs="宋体"/>
          <w:kern w:val="0"/>
          <w:sz w:val="28"/>
          <w:szCs w:val="28"/>
          <w:lang w:val="en-US" w:eastAsia="zh-CN"/>
        </w:rPr>
        <w:t>【业务描述】</w:t>
      </w:r>
    </w:p>
    <w:p>
      <w:pPr>
        <w:widowControl/>
        <w:spacing w:line="360" w:lineRule="auto"/>
        <w:ind w:firstLine="420"/>
        <w:jc w:val="left"/>
        <w:rPr>
          <w:rFonts w:hint="eastAsia" w:ascii="宋体" w:hAnsi="宋体" w:eastAsia="宋体" w:cs="宋体"/>
          <w:kern w:val="0"/>
          <w:sz w:val="28"/>
          <w:szCs w:val="28"/>
          <w:lang w:val="en-US" w:eastAsia="zh-CN"/>
        </w:rPr>
      </w:pPr>
      <w:r>
        <w:rPr>
          <w:rFonts w:hint="eastAsia" w:ascii="宋体" w:hAnsi="宋体" w:eastAsia="宋体" w:cs="宋体"/>
          <w:kern w:val="0"/>
          <w:sz w:val="28"/>
          <w:szCs w:val="28"/>
          <w:lang w:val="en-US" w:eastAsia="zh-CN"/>
        </w:rPr>
        <w:t>需要在内蒙古医药集中采购平台开展药品或医用耗材网上采购结算业务，符合条件的配送企业直接申请登记收款账户信息。</w:t>
      </w:r>
    </w:p>
    <w:p>
      <w:pPr>
        <w:widowControl/>
        <w:spacing w:line="360" w:lineRule="auto"/>
        <w:ind w:firstLine="420"/>
        <w:jc w:val="left"/>
        <w:rPr>
          <w:rFonts w:hint="default" w:ascii="宋体" w:hAnsi="宋体" w:eastAsia="宋体" w:cs="宋体"/>
          <w:kern w:val="0"/>
          <w:sz w:val="28"/>
          <w:szCs w:val="28"/>
          <w:lang w:val="en-US" w:eastAsia="zh-CN"/>
        </w:rPr>
      </w:pPr>
      <w:r>
        <w:rPr>
          <w:rFonts w:hint="eastAsia" w:ascii="宋体" w:hAnsi="宋体" w:eastAsia="宋体" w:cs="宋体"/>
          <w:kern w:val="0"/>
          <w:sz w:val="28"/>
          <w:szCs w:val="28"/>
          <w:lang w:val="en-US" w:eastAsia="zh-CN"/>
        </w:rPr>
        <w:t>【备注】操作手册中涉及内容均为测试数据。</w:t>
      </w:r>
    </w:p>
    <w:p>
      <w:pPr>
        <w:pStyle w:val="3"/>
        <w:keepNext/>
        <w:keepLines/>
        <w:pageBreakBefore w:val="0"/>
        <w:widowControl/>
        <w:numPr>
          <w:ilvl w:val="0"/>
          <w:numId w:val="0"/>
        </w:numPr>
        <w:kinsoku/>
        <w:wordWrap/>
        <w:overflowPunct/>
        <w:topLinePunct w:val="0"/>
        <w:autoSpaceDE/>
        <w:autoSpaceDN/>
        <w:bidi w:val="0"/>
        <w:adjustRightInd/>
        <w:snapToGrid/>
        <w:spacing w:before="0" w:after="0" w:line="300" w:lineRule="auto"/>
        <w:ind w:leftChars="0"/>
        <w:jc w:val="left"/>
        <w:textAlignment w:val="auto"/>
        <w:outlineLvl w:val="2"/>
        <w:rPr>
          <w:rFonts w:hint="default" w:ascii="宋体" w:hAnsi="宋体" w:eastAsia="宋体" w:cs="宋体"/>
          <w:kern w:val="0"/>
          <w:lang w:val="en-US" w:eastAsia="zh-CN"/>
        </w:rPr>
      </w:pPr>
      <w:r>
        <w:rPr>
          <w:rFonts w:hint="eastAsia" w:ascii="宋体" w:hAnsi="宋体" w:eastAsia="宋体" w:cs="宋体"/>
          <w:kern w:val="0"/>
          <w:lang w:val="en-US" w:eastAsia="zh-CN"/>
        </w:rPr>
        <w:t>1.1用户</w:t>
      </w:r>
      <w:r>
        <w:rPr>
          <w:rFonts w:hint="eastAsia" w:asciiTheme="majorEastAsia" w:hAnsiTheme="majorEastAsia" w:eastAsiaTheme="majorEastAsia" w:cstheme="majorEastAsia"/>
          <w:kern w:val="0"/>
          <w:lang w:val="en-US" w:eastAsia="zh-CN"/>
        </w:rPr>
        <w:t>登录</w:t>
      </w:r>
    </w:p>
    <w:p>
      <w:pPr>
        <w:widowControl/>
        <w:spacing w:line="360" w:lineRule="auto"/>
        <w:ind w:firstLine="420"/>
        <w:jc w:val="left"/>
        <w:rPr>
          <w:rFonts w:hint="eastAsia" w:ascii="宋体" w:hAnsi="宋体" w:eastAsia="宋体" w:cs="宋体"/>
          <w:kern w:val="0"/>
          <w:sz w:val="28"/>
          <w:szCs w:val="28"/>
          <w:lang w:val="en-US" w:eastAsia="zh-CN"/>
        </w:rPr>
      </w:pPr>
      <w:r>
        <w:rPr>
          <w:rFonts w:hint="eastAsia" w:ascii="宋体" w:hAnsi="宋体" w:eastAsia="宋体" w:cs="宋体"/>
          <w:kern w:val="0"/>
          <w:sz w:val="28"/>
          <w:szCs w:val="28"/>
          <w:lang w:val="en-US" w:eastAsia="zh-CN"/>
        </w:rPr>
        <w:t>所有配送企业完成注册，通过https://www.nmgybggfw.org.cn/hallEnter/#/Index进行登录。</w:t>
      </w:r>
    </w:p>
    <w:p>
      <w:pPr>
        <w:widowControl/>
        <w:spacing w:line="360" w:lineRule="auto"/>
        <w:jc w:val="left"/>
      </w:pPr>
      <w:r>
        <w:drawing>
          <wp:inline distT="0" distB="0" distL="114300" distR="114300">
            <wp:extent cx="5273675" cy="2190750"/>
            <wp:effectExtent l="0" t="0" r="9525" b="190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5273675" cy="2190750"/>
                    </a:xfrm>
                    <a:prstGeom prst="rect">
                      <a:avLst/>
                    </a:prstGeom>
                    <a:noFill/>
                    <a:ln>
                      <a:noFill/>
                    </a:ln>
                  </pic:spPr>
                </pic:pic>
              </a:graphicData>
            </a:graphic>
          </wp:inline>
        </w:drawing>
      </w:r>
    </w:p>
    <w:p>
      <w:pPr>
        <w:pStyle w:val="3"/>
        <w:keepNext/>
        <w:keepLines/>
        <w:pageBreakBefore w:val="0"/>
        <w:widowControl/>
        <w:numPr>
          <w:ilvl w:val="0"/>
          <w:numId w:val="0"/>
        </w:numPr>
        <w:kinsoku/>
        <w:wordWrap/>
        <w:overflowPunct/>
        <w:topLinePunct w:val="0"/>
        <w:autoSpaceDE/>
        <w:autoSpaceDN/>
        <w:bidi w:val="0"/>
        <w:adjustRightInd/>
        <w:snapToGrid/>
        <w:spacing w:before="0" w:after="0" w:line="300" w:lineRule="auto"/>
        <w:ind w:leftChars="0"/>
        <w:jc w:val="left"/>
        <w:textAlignment w:val="auto"/>
        <w:outlineLvl w:val="2"/>
        <w:rPr>
          <w:rFonts w:hint="eastAsia" w:ascii="宋体" w:hAnsi="宋体" w:eastAsia="宋体" w:cs="宋体"/>
          <w:kern w:val="0"/>
          <w:lang w:val="en-US" w:eastAsia="zh-CN"/>
        </w:rPr>
      </w:pPr>
      <w:r>
        <w:rPr>
          <w:rFonts w:hint="eastAsia" w:ascii="宋体" w:hAnsi="宋体" w:eastAsia="宋体" w:cs="宋体"/>
          <w:kern w:val="0"/>
          <w:lang w:val="en-US" w:eastAsia="zh-CN"/>
        </w:rPr>
        <w:t>1.2招采企业服务</w:t>
      </w:r>
    </w:p>
    <w:p>
      <w:pPr>
        <w:widowControl/>
        <w:spacing w:line="360" w:lineRule="auto"/>
        <w:ind w:firstLine="420"/>
        <w:jc w:val="left"/>
        <w:rPr>
          <w:rFonts w:hint="default" w:ascii="宋体" w:hAnsi="宋体" w:eastAsia="宋体" w:cs="宋体"/>
          <w:kern w:val="0"/>
          <w:sz w:val="28"/>
          <w:szCs w:val="28"/>
          <w:lang w:val="en-US" w:eastAsia="zh-CN"/>
        </w:rPr>
      </w:pPr>
      <w:r>
        <w:rPr>
          <w:rFonts w:hint="eastAsia" w:ascii="宋体" w:hAnsi="宋体" w:eastAsia="宋体" w:cs="宋体"/>
          <w:kern w:val="0"/>
          <w:sz w:val="28"/>
          <w:szCs w:val="28"/>
          <w:lang w:val="en-US" w:eastAsia="zh-CN"/>
        </w:rPr>
        <w:t>通过账号信息完成登录，点击【招采企业服务】。</w:t>
      </w:r>
    </w:p>
    <w:p>
      <w:pPr>
        <w:widowControl/>
        <w:spacing w:line="360" w:lineRule="auto"/>
        <w:jc w:val="left"/>
      </w:pPr>
      <w:r>
        <w:drawing>
          <wp:inline distT="0" distB="0" distL="114300" distR="114300">
            <wp:extent cx="5271135" cy="2767330"/>
            <wp:effectExtent l="0" t="0" r="12065" b="127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5"/>
                    <a:stretch>
                      <a:fillRect/>
                    </a:stretch>
                  </pic:blipFill>
                  <pic:spPr>
                    <a:xfrm>
                      <a:off x="0" y="0"/>
                      <a:ext cx="5271135" cy="2767330"/>
                    </a:xfrm>
                    <a:prstGeom prst="rect">
                      <a:avLst/>
                    </a:prstGeom>
                    <a:noFill/>
                    <a:ln>
                      <a:noFill/>
                    </a:ln>
                  </pic:spPr>
                </pic:pic>
              </a:graphicData>
            </a:graphic>
          </wp:inline>
        </w:drawing>
      </w:r>
    </w:p>
    <w:p>
      <w:pPr>
        <w:pStyle w:val="3"/>
        <w:keepNext/>
        <w:keepLines/>
        <w:pageBreakBefore w:val="0"/>
        <w:widowControl/>
        <w:numPr>
          <w:ilvl w:val="0"/>
          <w:numId w:val="0"/>
        </w:numPr>
        <w:kinsoku/>
        <w:wordWrap/>
        <w:overflowPunct/>
        <w:topLinePunct w:val="0"/>
        <w:autoSpaceDE/>
        <w:autoSpaceDN/>
        <w:bidi w:val="0"/>
        <w:adjustRightInd/>
        <w:snapToGrid/>
        <w:spacing w:before="0" w:after="0" w:line="300" w:lineRule="auto"/>
        <w:ind w:leftChars="0"/>
        <w:jc w:val="left"/>
        <w:textAlignment w:val="auto"/>
        <w:outlineLvl w:val="2"/>
        <w:rPr>
          <w:rFonts w:hint="eastAsia" w:ascii="宋体" w:hAnsi="宋体" w:eastAsia="宋体" w:cs="宋体"/>
          <w:kern w:val="0"/>
          <w:lang w:val="en-US" w:eastAsia="zh-CN"/>
        </w:rPr>
      </w:pPr>
      <w:r>
        <w:rPr>
          <w:rFonts w:hint="eastAsia" w:ascii="宋体" w:hAnsi="宋体" w:eastAsia="宋体" w:cs="宋体"/>
          <w:kern w:val="0"/>
          <w:lang w:val="en-US" w:eastAsia="zh-CN"/>
        </w:rPr>
        <w:t>1.3医药采购网上业务办理</w:t>
      </w:r>
    </w:p>
    <w:p>
      <w:pPr>
        <w:widowControl/>
        <w:spacing w:line="360" w:lineRule="auto"/>
        <w:ind w:firstLine="420"/>
        <w:jc w:val="left"/>
        <w:rPr>
          <w:rFonts w:hint="default" w:ascii="宋体" w:hAnsi="宋体" w:eastAsia="宋体" w:cs="宋体"/>
          <w:kern w:val="0"/>
          <w:sz w:val="28"/>
          <w:szCs w:val="28"/>
          <w:lang w:val="en-US" w:eastAsia="zh-CN"/>
        </w:rPr>
      </w:pPr>
      <w:r>
        <w:rPr>
          <w:rFonts w:hint="eastAsia" w:ascii="宋体" w:hAnsi="宋体" w:eastAsia="宋体" w:cs="宋体"/>
          <w:kern w:val="0"/>
          <w:sz w:val="28"/>
          <w:szCs w:val="28"/>
          <w:lang w:val="en-US" w:eastAsia="zh-CN"/>
        </w:rPr>
        <w:t>点击医药采购网上业务办理系统，在此系统中维护配送企业结算账户信息。</w:t>
      </w:r>
    </w:p>
    <w:p>
      <w:pPr>
        <w:widowControl/>
        <w:spacing w:line="360" w:lineRule="auto"/>
        <w:jc w:val="left"/>
      </w:pPr>
      <w:r>
        <w:drawing>
          <wp:inline distT="0" distB="0" distL="114300" distR="114300">
            <wp:extent cx="5262880" cy="2781935"/>
            <wp:effectExtent l="0" t="0" r="20320" b="1206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6"/>
                    <a:stretch>
                      <a:fillRect/>
                    </a:stretch>
                  </pic:blipFill>
                  <pic:spPr>
                    <a:xfrm>
                      <a:off x="0" y="0"/>
                      <a:ext cx="5262880" cy="2781935"/>
                    </a:xfrm>
                    <a:prstGeom prst="rect">
                      <a:avLst/>
                    </a:prstGeom>
                    <a:noFill/>
                    <a:ln>
                      <a:noFill/>
                    </a:ln>
                  </pic:spPr>
                </pic:pic>
              </a:graphicData>
            </a:graphic>
          </wp:inline>
        </w:drawing>
      </w:r>
    </w:p>
    <w:p>
      <w:pPr>
        <w:pStyle w:val="3"/>
        <w:keepNext/>
        <w:keepLines/>
        <w:pageBreakBefore w:val="0"/>
        <w:widowControl/>
        <w:numPr>
          <w:ilvl w:val="0"/>
          <w:numId w:val="0"/>
        </w:numPr>
        <w:kinsoku/>
        <w:wordWrap/>
        <w:overflowPunct/>
        <w:topLinePunct w:val="0"/>
        <w:autoSpaceDE/>
        <w:autoSpaceDN/>
        <w:bidi w:val="0"/>
        <w:adjustRightInd/>
        <w:snapToGrid/>
        <w:spacing w:before="0" w:after="0" w:line="300" w:lineRule="auto"/>
        <w:ind w:leftChars="0"/>
        <w:jc w:val="left"/>
        <w:textAlignment w:val="auto"/>
        <w:outlineLvl w:val="2"/>
        <w:rPr>
          <w:rFonts w:hint="eastAsia" w:ascii="宋体" w:hAnsi="宋体" w:eastAsia="宋体" w:cs="宋体"/>
          <w:kern w:val="0"/>
          <w:lang w:val="en-US" w:eastAsia="zh-CN"/>
        </w:rPr>
      </w:pPr>
      <w:r>
        <w:rPr>
          <w:rFonts w:hint="eastAsia" w:ascii="宋体" w:hAnsi="宋体" w:eastAsia="宋体" w:cs="宋体"/>
          <w:kern w:val="0"/>
          <w:lang w:val="en-US" w:eastAsia="zh-CN"/>
        </w:rPr>
        <w:t>1.4结算账户登记</w:t>
      </w:r>
    </w:p>
    <w:p>
      <w:pPr>
        <w:widowControl/>
        <w:spacing w:line="360" w:lineRule="auto"/>
        <w:ind w:firstLine="420"/>
        <w:jc w:val="left"/>
        <w:rPr>
          <w:rFonts w:hint="default" w:ascii="宋体" w:hAnsi="宋体" w:eastAsia="宋体" w:cs="宋体"/>
          <w:kern w:val="0"/>
          <w:sz w:val="28"/>
          <w:szCs w:val="28"/>
          <w:lang w:val="en-US" w:eastAsia="zh-CN"/>
        </w:rPr>
      </w:pPr>
      <w:r>
        <w:rPr>
          <w:rFonts w:hint="eastAsia" w:ascii="宋体" w:hAnsi="宋体" w:eastAsia="宋体" w:cs="宋体"/>
          <w:kern w:val="0"/>
          <w:sz w:val="28"/>
          <w:szCs w:val="28"/>
          <w:lang w:val="en-US" w:eastAsia="zh-CN"/>
        </w:rPr>
        <w:t>在医药采购网上业务办理系统中选择【结算账户登记】，进入该模块进行信息维护。</w:t>
      </w:r>
    </w:p>
    <w:p>
      <w:pPr>
        <w:widowControl/>
        <w:spacing w:line="360" w:lineRule="auto"/>
        <w:jc w:val="left"/>
      </w:pPr>
      <w:r>
        <w:drawing>
          <wp:inline distT="0" distB="0" distL="114300" distR="114300">
            <wp:extent cx="5269230" cy="2478405"/>
            <wp:effectExtent l="0" t="0" r="13970" b="1079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7"/>
                    <a:stretch>
                      <a:fillRect/>
                    </a:stretch>
                  </pic:blipFill>
                  <pic:spPr>
                    <a:xfrm>
                      <a:off x="0" y="0"/>
                      <a:ext cx="5269230" cy="2478405"/>
                    </a:xfrm>
                    <a:prstGeom prst="rect">
                      <a:avLst/>
                    </a:prstGeom>
                    <a:noFill/>
                    <a:ln>
                      <a:noFill/>
                    </a:ln>
                  </pic:spPr>
                </pic:pic>
              </a:graphicData>
            </a:graphic>
          </wp:inline>
        </w:drawing>
      </w:r>
    </w:p>
    <w:p>
      <w:pPr>
        <w:widowControl/>
        <w:spacing w:line="360" w:lineRule="auto"/>
        <w:ind w:firstLine="420"/>
        <w:jc w:val="left"/>
        <w:rPr>
          <w:rFonts w:hint="default" w:ascii="宋体" w:hAnsi="宋体" w:eastAsia="宋体" w:cs="宋体"/>
          <w:kern w:val="0"/>
          <w:sz w:val="28"/>
          <w:szCs w:val="28"/>
          <w:lang w:val="en-US" w:eastAsia="zh-CN"/>
        </w:rPr>
      </w:pPr>
      <w:r>
        <w:rPr>
          <w:rFonts w:hint="eastAsia" w:ascii="宋体" w:hAnsi="宋体" w:eastAsia="宋体" w:cs="宋体"/>
          <w:kern w:val="0"/>
          <w:sz w:val="28"/>
          <w:szCs w:val="28"/>
          <w:lang w:val="en-US" w:eastAsia="zh-CN"/>
        </w:rPr>
        <w:t>配送企业在维护结算账户之前需要完成账号注册、认证工作，配送企业能够正常访问招采子系统，再根据开展业务需要完善药品、医用耗材的结算账户信息。若企业维护业务类型是药品，结算账户只需要维护药品的结算账户；企业维护的业务类型是医用耗材，结算账户只需要维护医用耗材的结算账户；企业维护的业务类型是药品+医用耗材，则需要维护药品和医用耗材的结算账户。</w:t>
      </w:r>
    </w:p>
    <w:p>
      <w:pPr>
        <w:widowControl/>
        <w:spacing w:line="360" w:lineRule="auto"/>
        <w:jc w:val="left"/>
        <w:rPr>
          <w:rFonts w:hint="default"/>
          <w:lang w:val="en-US" w:eastAsia="zh-CN"/>
        </w:rPr>
      </w:pPr>
      <w:r>
        <w:drawing>
          <wp:inline distT="0" distB="0" distL="114300" distR="114300">
            <wp:extent cx="5266690" cy="2440305"/>
            <wp:effectExtent l="0" t="0" r="16510" b="2349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8"/>
                    <a:stretch>
                      <a:fillRect/>
                    </a:stretch>
                  </pic:blipFill>
                  <pic:spPr>
                    <a:xfrm>
                      <a:off x="0" y="0"/>
                      <a:ext cx="5266690" cy="2440305"/>
                    </a:xfrm>
                    <a:prstGeom prst="rect">
                      <a:avLst/>
                    </a:prstGeom>
                    <a:noFill/>
                    <a:ln>
                      <a:noFill/>
                    </a:ln>
                  </pic:spPr>
                </pic:pic>
              </a:graphicData>
            </a:graphic>
          </wp:inline>
        </w:drawing>
      </w:r>
    </w:p>
    <w:p>
      <w:pPr>
        <w:widowControl/>
        <w:spacing w:line="360" w:lineRule="auto"/>
        <w:ind w:firstLine="420"/>
        <w:jc w:val="left"/>
        <w:rPr>
          <w:rFonts w:hint="eastAsia" w:ascii="宋体" w:hAnsi="宋体" w:eastAsia="宋体" w:cs="宋体"/>
          <w:kern w:val="0"/>
          <w:sz w:val="28"/>
          <w:szCs w:val="28"/>
          <w:lang w:val="en-US" w:eastAsia="zh-CN"/>
        </w:rPr>
      </w:pPr>
      <w:r>
        <w:rPr>
          <w:rFonts w:hint="eastAsia" w:ascii="宋体" w:hAnsi="宋体" w:eastAsia="宋体" w:cs="宋体"/>
          <w:kern w:val="0"/>
          <w:sz w:val="28"/>
          <w:szCs w:val="28"/>
          <w:lang w:val="en-US" w:eastAsia="zh-CN"/>
        </w:rPr>
        <w:t>企业需上传银行开户证明，并加盖企业公章；企业注册名称与结算账户收款方户名不一致的，除银行开户证明外，还需上传名称不一致的情况说明，并加盖企业公章。</w:t>
      </w:r>
      <w:bookmarkStart w:id="0" w:name="_GoBack"/>
      <w:bookmarkEnd w:id="0"/>
    </w:p>
    <w:p>
      <w:pPr>
        <w:widowControl/>
        <w:spacing w:line="360" w:lineRule="auto"/>
        <w:ind w:firstLine="420"/>
        <w:jc w:val="left"/>
        <w:rPr>
          <w:rFonts w:hint="default" w:ascii="宋体" w:hAnsi="宋体" w:eastAsia="宋体" w:cs="宋体"/>
          <w:kern w:val="0"/>
          <w:sz w:val="28"/>
          <w:szCs w:val="28"/>
          <w:lang w:val="en-US" w:eastAsia="zh-CN"/>
        </w:rPr>
      </w:pPr>
      <w:r>
        <w:rPr>
          <w:rFonts w:hint="eastAsia" w:ascii="宋体" w:hAnsi="宋体" w:eastAsia="宋体" w:cs="宋体"/>
          <w:kern w:val="0"/>
          <w:sz w:val="28"/>
          <w:szCs w:val="28"/>
          <w:lang w:val="en-US" w:eastAsia="zh-CN"/>
        </w:rPr>
        <w:t>所有带</w:t>
      </w:r>
      <w:r>
        <w:rPr>
          <w:rFonts w:hint="eastAsia" w:ascii="宋体" w:hAnsi="宋体" w:eastAsia="宋体" w:cs="宋体"/>
          <w:color w:val="FF0000"/>
          <w:kern w:val="0"/>
          <w:sz w:val="28"/>
          <w:szCs w:val="28"/>
          <w:lang w:val="en-US" w:eastAsia="zh-CN"/>
        </w:rPr>
        <w:t>*</w:t>
      </w:r>
      <w:r>
        <w:rPr>
          <w:rFonts w:hint="eastAsia" w:ascii="宋体" w:hAnsi="宋体" w:eastAsia="宋体" w:cs="宋体"/>
          <w:kern w:val="0"/>
          <w:sz w:val="28"/>
          <w:szCs w:val="28"/>
          <w:lang w:val="en-US" w:eastAsia="zh-CN"/>
        </w:rPr>
        <w:t>的内容依据实际情况进行维护，维护完成进行【保存】、【立即提交】。</w:t>
      </w:r>
    </w:p>
    <w:p>
      <w:pPr>
        <w:rPr>
          <w:rFonts w:hint="default"/>
          <w:lang w:val="en-US" w:eastAsia="zh-CN"/>
        </w:rPr>
      </w:pPr>
      <w:r>
        <w:drawing>
          <wp:inline distT="0" distB="0" distL="114300" distR="114300">
            <wp:extent cx="5266690" cy="2440305"/>
            <wp:effectExtent l="0" t="0" r="16510" b="2349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9"/>
                    <a:stretch>
                      <a:fillRect/>
                    </a:stretch>
                  </pic:blipFill>
                  <pic:spPr>
                    <a:xfrm>
                      <a:off x="0" y="0"/>
                      <a:ext cx="5266690" cy="2440305"/>
                    </a:xfrm>
                    <a:prstGeom prst="rect">
                      <a:avLst/>
                    </a:prstGeom>
                    <a:noFill/>
                    <a:ln>
                      <a:noFill/>
                    </a:ln>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1"/>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8416B40"/>
    <w:multiLevelType w:val="multilevel"/>
    <w:tmpl w:val="E8416B40"/>
    <w:lvl w:ilvl="0" w:tentative="0">
      <w:start w:val="1"/>
      <w:numFmt w:val="decimal"/>
      <w:lvlText w:val="%1."/>
      <w:lvlJc w:val="left"/>
      <w:pPr>
        <w:ind w:left="425" w:hanging="425"/>
      </w:pPr>
      <w:rPr>
        <w:rFonts w:hint="default"/>
      </w:rPr>
    </w:lvl>
    <w:lvl w:ilvl="1" w:tentative="0">
      <w:start w:val="1"/>
      <w:numFmt w:val="decimal"/>
      <w:lvlText w:val="%1.%2."/>
      <w:lvlJc w:val="left"/>
      <w:pPr>
        <w:ind w:left="567" w:hanging="567"/>
      </w:pPr>
      <w:rPr>
        <w:rFonts w:hint="default"/>
      </w:rPr>
    </w:lvl>
    <w:lvl w:ilvl="2" w:tentative="0">
      <w:start w:val="1"/>
      <w:numFmt w:val="decimal"/>
      <w:lvlText w:val="%1.%2.%3."/>
      <w:lvlJc w:val="left"/>
      <w:pPr>
        <w:ind w:left="709" w:hanging="709"/>
      </w:pPr>
      <w:rPr>
        <w:rFonts w:hint="default"/>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NotDisplayPageBoundaries w:val="1"/>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DY3MWE4N2Y4Y2NkNDlkNTZhZTQ0NTZlNjI4N2I5NmQifQ=="/>
  </w:docVars>
  <w:rsids>
    <w:rsidRoot w:val="FD73DB3C"/>
    <w:rsid w:val="33720477"/>
    <w:rsid w:val="E555FC7D"/>
    <w:rsid w:val="FD73DB3C"/>
    <w:rsid w:val="FF794AE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2"/>
    <w:basedOn w:val="1"/>
    <w:next w:val="1"/>
    <w:unhideWhenUsed/>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paragraph" w:styleId="3">
    <w:name w:val="heading 4"/>
    <w:basedOn w:val="1"/>
    <w:next w:val="1"/>
    <w:unhideWhenUsed/>
    <w:qFormat/>
    <w:uiPriority w:val="0"/>
    <w:pPr>
      <w:keepNext/>
      <w:keepLines/>
      <w:spacing w:before="280" w:beforeLines="0" w:beforeAutospacing="0" w:after="290" w:afterLines="0" w:afterAutospacing="0" w:line="372" w:lineRule="auto"/>
      <w:outlineLvl w:val="3"/>
    </w:pPr>
    <w:rPr>
      <w:rFonts w:ascii="Arial" w:hAnsi="Arial" w:eastAsia="黑体"/>
      <w:b/>
      <w:sz w:val="28"/>
    </w:rPr>
  </w:style>
  <w:style w:type="character" w:default="1" w:styleId="5">
    <w:name w:val="Default Paragraph Font"/>
    <w:autoRedefine/>
    <w:semiHidden/>
    <w:uiPriority w:val="0"/>
  </w:style>
  <w:style w:type="table" w:default="1" w:styleId="4">
    <w:name w:val="Normal Table"/>
    <w:autoRedefine/>
    <w:semiHidden/>
    <w:qFormat/>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5</Pages>
  <Words>0</Words>
  <Characters>0</Characters>
  <Lines>0</Lines>
  <Paragraphs>0</Paragraphs>
  <TotalTime>0</TotalTime>
  <ScaleCrop>false</ScaleCrop>
  <LinksUpToDate>false</LinksUpToDate>
  <CharactersWithSpaces>0</CharactersWithSpaces>
  <Application>WPS Office_12.1.0.16412_F1E327BC-269C-435d-A152-05C5408002CA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2024-09-12T11:44:00Z</dcterms:created>
  <dc:creator>小马</dc:creator>
  <cp:lastModifiedBy>张宏原</cp:lastModifiedBy>
  <dcterms:modified xsi:type="dcterms:W3CDTF">2024-09-14T01:47:40Z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2052-12.1.0.16412</vt:lpwstr>
  </property>
  <property fmtid="{D5CDD505-2E9C-101B-9397-08002B2CF9AE}" pid="3" name="ICV">
    <vt:lpwstr>1ED118199BDAFB2F9490E26684C66ABA_43</vt:lpwstr>
  </property>
</Properties>
</file>