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wordWrap w:val="0"/>
        <w:spacing w:line="560" w:lineRule="exac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中选产品协议采购量确定</w:t>
      </w:r>
      <w:r>
        <w:rPr>
          <w:rFonts w:hint="eastAsia" w:ascii="Times New Roman" w:hAnsi="Times New Roman" w:eastAsia="黑体" w:cs="Times New Roman"/>
          <w:sz w:val="32"/>
          <w:szCs w:val="32"/>
        </w:rPr>
        <w:t>规则</w:t>
      </w:r>
    </w:p>
    <w:bookmarkEnd w:id="0"/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.有效申报企业数为3家及以上的竞价单元，分两步确定每一家医疗机构每一个中选产品的协议采购量。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第一步：竞价单元内按中选排名及中选依据，梯度分配协议采购量（附表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-1/附表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-2），如出现非整数则向上取整至个位，其中粘弹剂按最小包装（盒）分配需求量，骨类重建物按最小包装（包）分配需求量，分体式半月板缝合修复耗材产品按半月板缝合器分配需求量。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-1：</w:t>
      </w:r>
    </w:p>
    <w:p>
      <w:pPr>
        <w:spacing w:line="600" w:lineRule="exact"/>
        <w:ind w:firstLine="562" w:firstLine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有效申报企业数和最多入围企业数差额＞1的竞价单元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445"/>
        <w:gridCol w:w="2577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1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中选规则</w:t>
            </w: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中选排名</w:t>
            </w:r>
          </w:p>
        </w:tc>
        <w:tc>
          <w:tcPr>
            <w:tcW w:w="1512" w:type="pct"/>
            <w:vAlign w:val="center"/>
          </w:tcPr>
          <w:p>
            <w:pPr>
              <w:ind w:right="-122" w:rightChars="-58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分配协议采购量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占医疗机构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采购需求量比例</w:t>
            </w:r>
          </w:p>
        </w:tc>
        <w:tc>
          <w:tcPr>
            <w:tcW w:w="151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中选产品待分配量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占医疗机构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采购需求量比例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按规则一中选</w:t>
            </w: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5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100%</w:t>
            </w:r>
          </w:p>
        </w:tc>
        <w:tc>
          <w:tcPr>
            <w:tcW w:w="151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0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2、3</w:t>
            </w:r>
          </w:p>
        </w:tc>
        <w:tc>
          <w:tcPr>
            <w:tcW w:w="15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95%</w:t>
            </w:r>
          </w:p>
        </w:tc>
        <w:tc>
          <w:tcPr>
            <w:tcW w:w="151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0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4、5</w:t>
            </w:r>
          </w:p>
        </w:tc>
        <w:tc>
          <w:tcPr>
            <w:tcW w:w="15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90%</w:t>
            </w:r>
          </w:p>
        </w:tc>
        <w:tc>
          <w:tcPr>
            <w:tcW w:w="151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0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6、7</w:t>
            </w:r>
          </w:p>
        </w:tc>
        <w:tc>
          <w:tcPr>
            <w:tcW w:w="15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85%</w:t>
            </w:r>
          </w:p>
        </w:tc>
        <w:tc>
          <w:tcPr>
            <w:tcW w:w="151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0" w:type="pct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≥8</w:t>
            </w:r>
          </w:p>
        </w:tc>
        <w:tc>
          <w:tcPr>
            <w:tcW w:w="15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80%</w:t>
            </w:r>
          </w:p>
        </w:tc>
        <w:tc>
          <w:tcPr>
            <w:tcW w:w="151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按规则二中选</w:t>
            </w:r>
          </w:p>
        </w:tc>
        <w:tc>
          <w:tcPr>
            <w:tcW w:w="84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51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50%</w:t>
            </w:r>
          </w:p>
        </w:tc>
        <w:tc>
          <w:tcPr>
            <w:tcW w:w="151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40%</w:t>
            </w:r>
          </w:p>
        </w:tc>
      </w:tr>
    </w:tbl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-2：</w:t>
      </w:r>
    </w:p>
    <w:p>
      <w:pPr>
        <w:spacing w:line="600" w:lineRule="exact"/>
        <w:ind w:firstLine="562" w:firstLineChars="200"/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有效申报企业数和最多入围企业数差额=1的竞价单元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479"/>
        <w:gridCol w:w="2626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0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中选规则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中选排名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分配协议采购量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占医疗机构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采购需求量比例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中选产品待分配量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占医疗机构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采购需求量比例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按规则一中选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100%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90%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80%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≥4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50%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按规则二中选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50%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40%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步：医疗机构报量但未中选产品采购需求量的90%（如出现非整数则向上取整至个位）、医疗机构报量但企业未申报产品采购需求量的90%（如出现非整数则向上取整至个位）以及中选产品的待分配量（如出现非整数则向下取整至个位）共同组成剩余量，由医疗机构自主选择分配给中选企业。医疗机构分配剩余量时，可在同产品类别跨A、B竞价单元分配。A、B竞价单元内中选企业合并排名，医疗机构可选择该产品类别A、B竞价单元中选企业按竞价比价价格由低到高排序的前40%（如出现非整数则向上取整）的中选企业（包含按规则二中选的企业）。医疗机构也可选择填报过采购需求量但排名未进入前40%的中选产品（按规则一中选且人工晶体类竞价比价价格＞同产品类别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同</w:t>
      </w:r>
      <w:r>
        <w:rPr>
          <w:rFonts w:ascii="Times New Roman" w:hAnsi="Times New Roman" w:eastAsia="仿宋_GB2312" w:cs="Times New Roman"/>
          <w:sz w:val="32"/>
          <w:szCs w:val="32"/>
        </w:rPr>
        <w:t>折算规则最高有效申报价60%的中选企业除外；按规则一中选且运动医学类产品竞价比价价格＞同产品类别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同</w:t>
      </w:r>
      <w:r>
        <w:rPr>
          <w:rFonts w:ascii="Times New Roman" w:hAnsi="Times New Roman" w:eastAsia="仿宋_GB2312" w:cs="Times New Roman"/>
          <w:sz w:val="32"/>
          <w:szCs w:val="32"/>
        </w:rPr>
        <w:t>折算规则最高有效申报价40%的中选企业除外；按规则二中选的企业除外）。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各产品类别按需求量占比由低到高排名，累计达到5%（不含）的医疗机构，在分配剩余量时，可自主分配给任意中选企业。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在分配修复用缝线类医用耗材剩余量时，若可选择的中选企业的产品范围仅包括材质为聚酯的修复用缝线，可根据临床需求分配给其他材质的修复用缝线类中选产品。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2.有效申报企业数为1家和2家的竞价单元，分两步确定每一家医疗机构每一个中选产品的协议采购量。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第一步：根据申报企业竞价比价价格占最高有效申报价的比例，梯度分配医疗机构协议采购量（附表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-1/附表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-2），如出现非整数则向上取整至个位。其中粘弹剂按最小包装（盒）分配需求量，骨类重建物按最小包装（包）分配需求量，分体式半月板缝合修复耗材产品按半月板缝合器分配需求量。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-1：人工晶体类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  <w:gridCol w:w="2831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67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申报企业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竞价比价价格占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最高有效申报价比例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分配协议采购量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占医疗机构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采购需求量比例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中选产品待分配量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占医疗机构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采购需求量比例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75%＜比例≤80%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10%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70%＜比例≤75%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20%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65%＜比例≤70%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30%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60%＜比例≤65%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40%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比例≤60%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50%</w:t>
            </w:r>
          </w:p>
        </w:tc>
        <w:tc>
          <w:tcPr>
            <w:tcW w:w="166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40%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-2：运动医学类</w:t>
      </w:r>
    </w:p>
    <w:tbl>
      <w:tblPr>
        <w:tblStyle w:val="3"/>
        <w:tblW w:w="5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933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申报企业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竞价比价价格占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最高有效申报价比例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分配协议采购量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占医疗机构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采购需求量比例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中选产品待分配量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占医疗机构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采购需求量比例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65%＜比例≤70%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60%＜比例≤65%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55%＜比例≤60%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50%＜比例≤55%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45%＜比例≤50%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40%＜比例≤45%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比例≤40%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50%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40%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步：医疗机构报量但未中选产品采购需求量的90%（如出现非整数则向上取整至个位）、医疗机构报量但企业未申报产品采购需求量的90%（如出现非整数则向上取整至个位）以及中选产品的待分配量（如出现非整数则向下取整至个位）共同组成剩余量，由医疗机构分配给中选排名首位的中选企业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中选企业被某一省份依据医药价格和招采信用评价制度评定为“严重”或“特别严重”失信等级的，该省份有权拒绝该企业在当地中选。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TY0Nzc3NDkyMWQ5YWZmM2RiY2U0MGIzNzE1MmUifQ=="/>
  </w:docVars>
  <w:rsids>
    <w:rsidRoot w:val="597C58BE"/>
    <w:rsid w:val="597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2023-12-18T02:04:00Z</dcterms:created>
  <dc:creator>王蕊</dc:creator>
  <cp:lastModifiedBy>王蕊</cp:lastModifiedBy>
  <dcterms:modified xsi:type="dcterms:W3CDTF">2023-12-18T02:04:57Z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AFB82FEA5EFA49BB9AF0697A3F322A51_11</vt:lpwstr>
  </property>
</Properties>
</file>