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1CE08">
      <w:pPr>
        <w:pStyle w:val="2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 w14:paraId="13F0974F">
      <w:pPr>
        <w:pStyle w:val="2"/>
        <w:spacing w:line="7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内蒙古自治区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医疗保障领域违法行为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“首违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免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罚”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清单</w:t>
      </w:r>
      <w:bookmarkEnd w:id="0"/>
    </w:p>
    <w:tbl>
      <w:tblPr>
        <w:tblStyle w:val="4"/>
        <w:tblW w:w="15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630"/>
        <w:gridCol w:w="3030"/>
        <w:gridCol w:w="4336"/>
        <w:gridCol w:w="6493"/>
      </w:tblGrid>
      <w:tr w14:paraId="6CB4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tblHeader/>
        </w:trPr>
        <w:tc>
          <w:tcPr>
            <w:tcW w:w="5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03B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9CF4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对象</w:t>
            </w:r>
          </w:p>
        </w:tc>
        <w:tc>
          <w:tcPr>
            <w:tcW w:w="3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8E57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事项名称</w:t>
            </w:r>
          </w:p>
        </w:tc>
        <w:tc>
          <w:tcPr>
            <w:tcW w:w="4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2D3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实施依据</w:t>
            </w:r>
          </w:p>
        </w:tc>
        <w:tc>
          <w:tcPr>
            <w:tcW w:w="64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A568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适用条件（必须同时具备）</w:t>
            </w:r>
          </w:p>
        </w:tc>
      </w:tr>
      <w:tr w14:paraId="7023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6" w:hRule="atLeast"/>
        </w:trPr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D88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253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定点医药机构</w:t>
            </w:r>
          </w:p>
        </w:tc>
        <w:tc>
          <w:tcPr>
            <w:tcW w:w="3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93AF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对定点医药机构“分解住院、挂床住院”的处罚</w:t>
            </w:r>
          </w:p>
        </w:tc>
        <w:tc>
          <w:tcPr>
            <w:tcW w:w="43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AFD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80" w:afterAutospacing="0" w:line="288" w:lineRule="atLeast"/>
              <w:ind w:right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《医疗保障基金使用监督管理条例》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第三十八条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定点医药机构有下列情形之一的，由医疗保障行政部门责令改正，并可以约谈有关负责人；造成医疗保障基金损失的，责令退回，处造成损失金额1倍以上2倍以下的罚款；拒不改正或者造成严重后果的，责令定点医药机构暂停相关责任部门6个月以上1年以下涉及医疗保障基金使用的医药服务；违反其他法律、行政法规的，由有关主管部门依法处理：（一）分解住院、挂床住院；（二）违反诊疗规范过度诊疗、过度检查、分解处方、超量开药、重复开药或者提供其他不必要的医药服务；（三）重复收费、超标准收费、分解项目收费；（四）串换药品、医用耗材、诊疗项目和服务设施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（五）为参保人员利用其享受医疗保障待遇的机会转卖药品，接受返还现金、实物或者获得其他非法利益提供便利；（六）将不属于医疗保障基金支付范围的医药费用纳入医疗保障基金结算；（七）造成医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疗保障基金损失的其他违法行为。</w:t>
            </w:r>
          </w:p>
          <w:p w14:paraId="28C94B1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9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41B1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1.未发现以骗取医保基金为目的；</w:t>
            </w:r>
          </w:p>
          <w:p w14:paraId="1F2F3EF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2.初次违法，且医保基金损失在3000元（含）以下；</w:t>
            </w:r>
          </w:p>
          <w:p w14:paraId="3685414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3.及时改正并退还损失医保基金；</w:t>
            </w:r>
          </w:p>
          <w:p w14:paraId="113C0BC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4.积极配合检查，或主动供述医保部门尚未掌握的其他有效线索问题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2154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6" w:hRule="atLeast"/>
        </w:trPr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60C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09FF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8CEF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对定点医药机构“违反诊疗规范过度诊疗、过度检查、分解处方、超量开药、重复开药或提供其他不必要的医药服务”的处罚</w:t>
            </w:r>
          </w:p>
        </w:tc>
        <w:tc>
          <w:tcPr>
            <w:tcW w:w="43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6070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9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546C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 w14:paraId="4E82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6" w:hRule="atLeast"/>
        </w:trPr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E76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2225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9232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对定点医药机构“重复收费、超标准收费、分解项目收费”的处罚</w:t>
            </w:r>
          </w:p>
        </w:tc>
        <w:tc>
          <w:tcPr>
            <w:tcW w:w="43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673D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9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F112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 w14:paraId="2172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6" w:hRule="atLeast"/>
        </w:trPr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8BF2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79D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个人</w:t>
            </w:r>
          </w:p>
        </w:tc>
        <w:tc>
          <w:tcPr>
            <w:tcW w:w="3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378C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对个人“将本人的医疗保障凭证交由他人冒名使用”的处罚</w:t>
            </w:r>
          </w:p>
        </w:tc>
        <w:tc>
          <w:tcPr>
            <w:tcW w:w="43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4E1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80" w:afterAutospacing="0" w:line="288" w:lineRule="atLeast"/>
              <w:ind w:right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《医疗保障基金使用监督管理条例》第四十一条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　个人有下列情形之一的，由医疗保障行政部门责令改正；造成医疗保障基金损失的，责令退回；属于参保人员的，暂停其医疗费用联网结算3个月至12个月：（一）将本人的医疗保障凭证交由他人冒名使用；（二）重复享受医疗保障待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（三）利用享受医疗保障待遇的机会转卖药品，接受返还现金、实物或者获得其他非法利益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649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FD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1.未发现以骗取医保基金为目的；</w:t>
            </w:r>
          </w:p>
          <w:p w14:paraId="1207E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2.同时具备初次违法，且医保基金损失在200元（含）以下；</w:t>
            </w:r>
          </w:p>
          <w:p w14:paraId="62DC0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3.及时改正并退回损失医保基金；</w:t>
            </w:r>
          </w:p>
          <w:p w14:paraId="38906B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4.积极配合检查，或主动供述医保部门尚未掌握的其他有效线索问题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 w14:paraId="161E6C1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1A5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4" w:hRule="atLeast"/>
        </w:trPr>
        <w:tc>
          <w:tcPr>
            <w:tcW w:w="5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5718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06FB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0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9489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对个人“重复享受医疗保障待遇”的处罚</w:t>
            </w:r>
          </w:p>
        </w:tc>
        <w:tc>
          <w:tcPr>
            <w:tcW w:w="43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45A2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9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C6A0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</w:tbl>
    <w:p w14:paraId="0391CEAB">
      <w:pPr>
        <w:pStyle w:val="2"/>
        <w:rPr>
          <w:rFonts w:hint="default" w:ascii="Times New Roman" w:hAnsi="Times New Roman" w:cs="Times New Roman"/>
          <w:sz w:val="32"/>
          <w:szCs w:val="32"/>
        </w:rPr>
      </w:pPr>
    </w:p>
    <w:p w14:paraId="6F0E4B4F">
      <w:pPr>
        <w:pStyle w:val="2"/>
        <w:rPr>
          <w:rFonts w:hint="default" w:ascii="Times New Roman" w:hAnsi="Times New Roman" w:cs="Times New Roman"/>
          <w:sz w:val="32"/>
          <w:szCs w:val="32"/>
        </w:rPr>
      </w:pPr>
    </w:p>
    <w:p w14:paraId="6042D6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75900"/>
    <w:rsid w:val="6F4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2025-06-06T02:55:00Z</dcterms:created>
  <dc:creator>汪聪慧</dc:creator>
  <cp:lastModifiedBy>汪聪慧</cp:lastModifiedBy>
  <dcterms:modified xsi:type="dcterms:W3CDTF">2025-06-06T02:56:27Z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AC07989E32CE425F9836F5828D9209EC_11</vt:lpwstr>
  </property>
  <property fmtid="{D5CDD505-2E9C-101B-9397-08002B2CF9AE}" pid="4" name="KSOTemplateDocerSaveRecord">
    <vt:lpwstr>eyJoZGlkIjoiYzE3ZDNkNzQyMjU1NTQ5MGJiZjMzYWY0Y2E0MWIxY2QiLCJ1c2VySWQiOiIxNTI5NDQ0OTczIn0=</vt:lpwstr>
  </property>
</Properties>
</file>